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0C" w:rsidRPr="00B31400" w:rsidRDefault="00ED330C" w:rsidP="00D44B27">
      <w:pPr>
        <w:adjustRightInd w:val="0"/>
        <w:snapToGrid w:val="0"/>
        <w:spacing w:beforeLines="15" w:before="54" w:line="440" w:lineRule="exact"/>
        <w:jc w:val="center"/>
        <w:rPr>
          <w:rFonts w:ascii="標楷體" w:eastAsia="標楷體" w:hAnsi="標楷體"/>
          <w:b/>
          <w:color w:val="000000" w:themeColor="text1"/>
          <w:spacing w:val="20"/>
          <w:sz w:val="36"/>
          <w:szCs w:val="36"/>
        </w:rPr>
      </w:pPr>
      <w:r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中華民國</w:t>
      </w:r>
      <w:r w:rsidRPr="00B31400">
        <w:rPr>
          <w:rFonts w:ascii="標楷體" w:eastAsia="標楷體" w:hAnsi="標楷體"/>
          <w:b/>
          <w:color w:val="000000" w:themeColor="text1"/>
          <w:spacing w:val="20"/>
          <w:sz w:val="36"/>
          <w:szCs w:val="36"/>
        </w:rPr>
        <w:t>工商協進會</w:t>
      </w:r>
      <w:r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第23</w:t>
      </w:r>
      <w:r w:rsidR="007B0710" w:rsidRPr="00B31400">
        <w:rPr>
          <w:rFonts w:ascii="標楷體" w:eastAsia="標楷體" w:hAnsi="標楷體"/>
          <w:b/>
          <w:color w:val="000000" w:themeColor="text1"/>
          <w:spacing w:val="20"/>
          <w:sz w:val="36"/>
          <w:szCs w:val="36"/>
        </w:rPr>
        <w:t>8</w:t>
      </w:r>
      <w:r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場工商講座</w:t>
      </w:r>
    </w:p>
    <w:p w:rsidR="000B0435" w:rsidRPr="00B31400" w:rsidRDefault="007B0710" w:rsidP="00D44B27">
      <w:pPr>
        <w:adjustRightInd w:val="0"/>
        <w:snapToGrid w:val="0"/>
        <w:spacing w:beforeLines="15" w:before="54" w:line="440" w:lineRule="exact"/>
        <w:jc w:val="center"/>
        <w:rPr>
          <w:rFonts w:ascii="標楷體" w:eastAsia="標楷體" w:hAnsi="標楷體" w:hint="eastAsia"/>
          <w:b/>
          <w:noProof/>
          <w:color w:val="000000" w:themeColor="text1"/>
          <w:spacing w:val="-100"/>
          <w:kern w:val="0"/>
          <w:sz w:val="36"/>
          <w:szCs w:val="36"/>
          <w:lang w:bidi="he-IL"/>
        </w:rPr>
      </w:pPr>
      <w:r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最新</w:t>
      </w:r>
      <w:r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「</w:t>
      </w:r>
      <w:r w:rsidR="00D44B27"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企業併購</w:t>
      </w:r>
      <w:r w:rsidR="00D44B27" w:rsidRPr="00B31400">
        <w:rPr>
          <w:rFonts w:ascii="標楷體" w:eastAsia="標楷體" w:hAnsi="標楷體"/>
          <w:b/>
          <w:color w:val="000000" w:themeColor="text1"/>
          <w:spacing w:val="20"/>
          <w:sz w:val="36"/>
          <w:szCs w:val="36"/>
        </w:rPr>
        <w:t>法</w:t>
      </w:r>
      <w:r w:rsidR="00D44B27"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、</w:t>
      </w:r>
      <w:r w:rsidR="00D44B27" w:rsidRPr="00B31400">
        <w:rPr>
          <w:rFonts w:ascii="標楷體" w:eastAsia="標楷體" w:hAnsi="標楷體"/>
          <w:b/>
          <w:color w:val="000000" w:themeColor="text1"/>
          <w:spacing w:val="20"/>
          <w:sz w:val="36"/>
          <w:szCs w:val="36"/>
        </w:rPr>
        <w:t>有限</w:t>
      </w:r>
      <w:r w:rsidR="00D44B27"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合夥法及</w:t>
      </w:r>
      <w:r w:rsidRPr="00B31400">
        <w:rPr>
          <w:rFonts w:ascii="標楷體" w:eastAsia="標楷體" w:hAnsi="標楷體"/>
          <w:b/>
          <w:color w:val="000000" w:themeColor="text1"/>
          <w:spacing w:val="20"/>
          <w:sz w:val="36"/>
          <w:szCs w:val="36"/>
        </w:rPr>
        <w:t>公司</w:t>
      </w:r>
      <w:r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法</w:t>
      </w:r>
      <w:r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之閉鎖性</w:t>
      </w:r>
      <w:r w:rsidRPr="00B31400">
        <w:rPr>
          <w:rFonts w:ascii="標楷體" w:eastAsia="標楷體" w:hAnsi="標楷體"/>
          <w:b/>
          <w:color w:val="000000" w:themeColor="text1"/>
          <w:spacing w:val="20"/>
          <w:sz w:val="36"/>
          <w:szCs w:val="36"/>
        </w:rPr>
        <w:t>股份有限公司專節</w:t>
      </w:r>
      <w:r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」稅務</w:t>
      </w:r>
      <w:r w:rsidR="00B31400" w:rsidRPr="00B31400">
        <w:rPr>
          <w:rFonts w:ascii="標楷體" w:eastAsia="標楷體" w:hAnsi="標楷體" w:hint="eastAsia"/>
          <w:b/>
          <w:color w:val="000000" w:themeColor="text1"/>
          <w:spacing w:val="20"/>
          <w:sz w:val="36"/>
          <w:szCs w:val="36"/>
        </w:rPr>
        <w:t>及法律議題</w:t>
      </w:r>
      <w:r w:rsidRPr="00B31400">
        <w:rPr>
          <w:rFonts w:ascii="標楷體" w:eastAsia="標楷體" w:hAnsi="標楷體"/>
          <w:b/>
          <w:color w:val="000000" w:themeColor="text1"/>
          <w:spacing w:val="20"/>
          <w:sz w:val="36"/>
          <w:szCs w:val="36"/>
        </w:rPr>
        <w:t>分析</w:t>
      </w:r>
    </w:p>
    <w:p w:rsidR="00C960E0" w:rsidRPr="00BE6AC6" w:rsidRDefault="00BF081D" w:rsidP="00BE2F38">
      <w:pPr>
        <w:spacing w:beforeLines="50" w:before="180" w:line="400" w:lineRule="exact"/>
        <w:ind w:firstLineChars="200" w:firstLine="600"/>
        <w:jc w:val="both"/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</w:pPr>
      <w:r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為因應商業活動發展</w:t>
      </w:r>
      <w:r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日新月異，企業組織樣態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需</w:t>
      </w:r>
      <w:r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更具彈性及多元化，立法院於今年6月5日三讀通過「有限合夥法」草案，創設具有法人格之「有限合夥」營利事業組織樣態，</w:t>
      </w:r>
      <w:r w:rsidR="00BE6AC6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賦予</w:t>
      </w:r>
      <w:r w:rsidR="00BE6AC6" w:rsidRPr="00BE6AC6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投資者與經營者不同</w:t>
      </w:r>
      <w:r w:rsidR="00BE6AC6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權責</w:t>
      </w:r>
      <w:r w:rsidR="00BE6AC6" w:rsidRPr="00BE6AC6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，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以</w:t>
      </w:r>
      <w:r w:rsidR="001324DE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促進</w:t>
      </w:r>
      <w:r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文創、創投及研發服務業之發展；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此外</w:t>
      </w:r>
      <w:r w:rsidR="00D44B27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，</w:t>
      </w:r>
      <w:r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立法院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於</w:t>
      </w:r>
      <w:r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6月15日三讀通過「公司法部分條文」修正草案，增訂「閉鎖性股份有限公司」專節，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賦予新創企業有較大自治空間、多元化籌資工具與更具彈性之股權安排</w:t>
      </w:r>
      <w:r w:rsidR="001324DE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；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立法院另於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6月15日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三讀通過「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企業併購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法」修正草案</w:t>
      </w:r>
      <w:r w:rsidR="00BE6AC6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，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簡化</w:t>
      </w:r>
      <w:r w:rsidR="00C960E0" w:rsidRPr="00BE6AC6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併購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程序</w:t>
      </w:r>
      <w:r w:rsidR="001324DE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，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增加</w:t>
      </w:r>
      <w:r w:rsidR="00C960E0" w:rsidRPr="00BE6AC6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併購彈性與效率</w:t>
      </w:r>
      <w:r w:rsidR="001324DE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，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以</w:t>
      </w:r>
      <w:r w:rsidR="00C960E0" w:rsidRPr="00BE6AC6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活絡國內企業併購活動</w:t>
      </w:r>
      <w:r w:rsidR="001324DE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，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並使併購</w:t>
      </w:r>
      <w:r w:rsidR="00C960E0" w:rsidRPr="00BE6AC6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對價選擇多元化</w:t>
      </w:r>
      <w:r w:rsidR="001324DE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，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以</w:t>
      </w:r>
      <w:r w:rsidR="00C960E0" w:rsidRPr="00BE6AC6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保障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股東、</w:t>
      </w:r>
      <w:r w:rsidR="00C960E0" w:rsidRPr="00BE6AC6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債權人</w:t>
      </w:r>
      <w:r w:rsidR="00C960E0" w:rsidRPr="00BE6AC6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及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員工</w:t>
      </w:r>
      <w:r w:rsidR="00C960E0" w:rsidRPr="00BE6AC6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權益</w:t>
      </w:r>
      <w:r w:rsidR="00C960E0" w:rsidRPr="00BE6AC6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ED330C" w:rsidRPr="00D44B27" w:rsidRDefault="00C960E0" w:rsidP="00BE2F38">
      <w:pPr>
        <w:spacing w:beforeLines="50" w:before="180" w:line="400" w:lineRule="exact"/>
        <w:ind w:firstLineChars="200" w:firstLine="600"/>
        <w:jc w:val="both"/>
        <w:rPr>
          <w:rFonts w:ascii="標楷體" w:eastAsia="標楷體" w:hAnsi="標楷體"/>
          <w:color w:val="000000" w:themeColor="text1"/>
          <w:sz w:val="30"/>
          <w:szCs w:val="30"/>
        </w:rPr>
      </w:pPr>
      <w:r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為協助會員企業</w:t>
      </w:r>
      <w:r w:rsidRPr="00D44B27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了解</w:t>
      </w:r>
      <w:r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此</w:t>
      </w:r>
      <w:r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三項新法重點</w:t>
      </w:r>
      <w:r w:rsidRPr="00D44B27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及</w:t>
      </w:r>
      <w:r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對企業</w:t>
      </w:r>
      <w:r w:rsidR="007B0710" w:rsidRPr="00D44B27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稅務法務</w:t>
      </w:r>
      <w:r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之</w:t>
      </w:r>
      <w:r w:rsidRPr="00D44B27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影響</w:t>
      </w:r>
      <w:r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，</w:t>
      </w:r>
      <w:r w:rsidR="003E50D9"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本會特邀請資誠聯合會計師事務所稅務法律服務郭宗銘</w:t>
      </w:r>
      <w:r w:rsidR="001324DE"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營運長</w:t>
      </w:r>
      <w:r w:rsidR="001324DE"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及</w:t>
      </w:r>
      <w:r w:rsidR="001324DE" w:rsidRPr="00D44B27">
        <w:rPr>
          <w:rFonts w:ascii="標楷體" w:eastAsia="標楷體" w:hAnsi="標楷體"/>
          <w:color w:val="000000" w:themeColor="text1"/>
          <w:sz w:val="30"/>
          <w:szCs w:val="30"/>
          <w:shd w:val="clear" w:color="auto" w:fill="FFFFFF"/>
        </w:rPr>
        <w:t>洪連盛</w:t>
      </w:r>
      <w:r w:rsidR="003E50D9"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會計師，</w:t>
      </w:r>
      <w:r w:rsidR="001324DE"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與各位分享最新工商法規新知</w:t>
      </w:r>
      <w:r w:rsidR="003E50D9"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，歡迎踴躍報名</w:t>
      </w:r>
      <w:r w:rsidR="00CC33F5"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參加</w:t>
      </w:r>
      <w:r w:rsidR="003E50D9" w:rsidRPr="00D44B27">
        <w:rPr>
          <w:rFonts w:ascii="標楷體" w:eastAsia="標楷體" w:hAnsi="標楷體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3E50D9" w:rsidRPr="00D44B27" w:rsidRDefault="00E451A6" w:rsidP="00E451A6">
      <w:pPr>
        <w:wordWrap w:val="0"/>
        <w:spacing w:beforeLines="25" w:before="90" w:line="420" w:lineRule="exact"/>
        <w:ind w:firstLineChars="200" w:firstLine="600"/>
        <w:jc w:val="right"/>
        <w:rPr>
          <w:rFonts w:ascii="標楷體" w:eastAsia="標楷體" w:hAnsi="標楷體"/>
          <w:color w:val="000000" w:themeColor="text1"/>
          <w:sz w:val="30"/>
          <w:szCs w:val="30"/>
          <w:lang w:eastAsia="zh-CN"/>
        </w:rPr>
      </w:pPr>
      <w:r w:rsidRPr="00D44B27">
        <w:rPr>
          <w:rFonts w:ascii="標楷體" w:eastAsia="標楷體" w:hAnsi="標楷體" w:hint="eastAsia"/>
          <w:color w:val="000000" w:themeColor="text1"/>
          <w:sz w:val="30"/>
          <w:szCs w:val="30"/>
          <w:lang w:eastAsia="zh-CN"/>
        </w:rPr>
        <w:t>（會  戳</w:t>
      </w:r>
      <w:r w:rsidRPr="00D44B27">
        <w:rPr>
          <w:rFonts w:ascii="標楷體" w:eastAsia="標楷體" w:hAnsi="標楷體"/>
          <w:color w:val="000000" w:themeColor="text1"/>
          <w:sz w:val="30"/>
          <w:szCs w:val="30"/>
          <w:lang w:eastAsia="zh-CN"/>
        </w:rPr>
        <w:t>）</w:t>
      </w:r>
      <w:r w:rsidRPr="00D44B27">
        <w:rPr>
          <w:rFonts w:ascii="標楷體" w:eastAsia="標楷體" w:hAnsi="標楷體" w:hint="eastAsia"/>
          <w:color w:val="000000" w:themeColor="text1"/>
          <w:sz w:val="30"/>
          <w:szCs w:val="30"/>
          <w:lang w:eastAsia="zh-CN"/>
        </w:rPr>
        <w:t xml:space="preserve"> </w:t>
      </w:r>
      <w:r w:rsidR="00BE2526" w:rsidRPr="00D44B27">
        <w:rPr>
          <w:rFonts w:ascii="標楷體" w:eastAsia="標楷體" w:hAnsi="標楷體"/>
          <w:color w:val="000000" w:themeColor="text1"/>
          <w:sz w:val="30"/>
          <w:szCs w:val="30"/>
          <w:lang w:eastAsia="zh-CN"/>
        </w:rPr>
        <w:t xml:space="preserve">     </w:t>
      </w:r>
    </w:p>
    <w:p w:rsidR="00ED330C" w:rsidRPr="00D44B27" w:rsidRDefault="00ED330C" w:rsidP="00D44B27">
      <w:pPr>
        <w:spacing w:line="460" w:lineRule="exact"/>
        <w:jc w:val="center"/>
        <w:rPr>
          <w:rFonts w:ascii="標楷體" w:eastAsia="標楷體" w:hAnsi="標楷體"/>
          <w:color w:val="000000" w:themeColor="text1"/>
          <w:sz w:val="30"/>
          <w:szCs w:val="30"/>
        </w:rPr>
      </w:pPr>
      <w:r w:rsidRPr="00D44B27">
        <w:rPr>
          <w:rFonts w:ascii="標楷體" w:eastAsia="標楷體" w:hAnsi="標楷體" w:hint="eastAsia"/>
          <w:b/>
          <w:noProof/>
          <w:color w:val="000000" w:themeColor="text1"/>
          <w:spacing w:val="200"/>
          <w:sz w:val="32"/>
          <w:szCs w:val="32"/>
        </w:rPr>
        <w:t>議</w:t>
      </w:r>
      <w:r w:rsidRPr="00D44B27"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w:t>程</w:t>
      </w:r>
    </w:p>
    <w:tbl>
      <w:tblPr>
        <w:tblW w:w="98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2101"/>
        <w:gridCol w:w="7768"/>
      </w:tblGrid>
      <w:tr w:rsidR="00F83039" w:rsidRPr="00D44B27" w:rsidTr="00FE412C">
        <w:trPr>
          <w:trHeight w:hRule="exact" w:val="454"/>
          <w:jc w:val="center"/>
        </w:trPr>
        <w:tc>
          <w:tcPr>
            <w:tcW w:w="2101" w:type="dxa"/>
            <w:tcBorders>
              <w:top w:val="double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時間</w:t>
            </w:r>
          </w:p>
        </w:tc>
        <w:tc>
          <w:tcPr>
            <w:tcW w:w="7768" w:type="dxa"/>
            <w:tcBorders>
              <w:top w:val="double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-10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pacing w:val="-10"/>
                <w:sz w:val="30"/>
                <w:szCs w:val="30"/>
              </w:rPr>
              <w:t>104年</w:t>
            </w:r>
            <w:r w:rsidR="001324DE" w:rsidRPr="00D44B27">
              <w:rPr>
                <w:rFonts w:ascii="標楷體" w:eastAsia="標楷體" w:hAnsi="標楷體"/>
                <w:color w:val="000000" w:themeColor="text1"/>
                <w:spacing w:val="-10"/>
                <w:sz w:val="30"/>
                <w:szCs w:val="30"/>
              </w:rPr>
              <w:t>8</w:t>
            </w:r>
            <w:r w:rsidRPr="00D44B27">
              <w:rPr>
                <w:rFonts w:ascii="標楷體" w:eastAsia="標楷體" w:hAnsi="標楷體" w:hint="eastAsia"/>
                <w:color w:val="000000" w:themeColor="text1"/>
                <w:spacing w:val="-10"/>
                <w:sz w:val="30"/>
                <w:szCs w:val="30"/>
              </w:rPr>
              <w:t>月</w:t>
            </w:r>
            <w:r w:rsidR="001324DE" w:rsidRPr="00D44B27">
              <w:rPr>
                <w:rFonts w:ascii="標楷體" w:eastAsia="標楷體" w:hAnsi="標楷體"/>
                <w:color w:val="000000" w:themeColor="text1"/>
                <w:spacing w:val="-10"/>
                <w:sz w:val="30"/>
                <w:szCs w:val="30"/>
              </w:rPr>
              <w:t>25</w:t>
            </w:r>
            <w:r w:rsidRPr="00D44B27">
              <w:rPr>
                <w:rFonts w:ascii="標楷體" w:eastAsia="標楷體" w:hAnsi="標楷體" w:hint="eastAsia"/>
                <w:color w:val="000000" w:themeColor="text1"/>
                <w:spacing w:val="-10"/>
                <w:sz w:val="30"/>
                <w:szCs w:val="30"/>
              </w:rPr>
              <w:t>日（星期</w:t>
            </w:r>
            <w:r w:rsidR="003E50D9" w:rsidRPr="00D44B27">
              <w:rPr>
                <w:rFonts w:ascii="標楷體" w:eastAsia="標楷體" w:hAnsi="標楷體" w:hint="eastAsia"/>
                <w:color w:val="000000" w:themeColor="text1"/>
                <w:spacing w:val="-10"/>
                <w:sz w:val="30"/>
                <w:szCs w:val="30"/>
              </w:rPr>
              <w:t>二</w:t>
            </w:r>
            <w:r w:rsidRPr="00D44B27">
              <w:rPr>
                <w:rFonts w:ascii="標楷體" w:eastAsia="標楷體" w:hAnsi="標楷體" w:hint="eastAsia"/>
                <w:color w:val="000000" w:themeColor="text1"/>
                <w:spacing w:val="-10"/>
                <w:sz w:val="30"/>
                <w:szCs w:val="30"/>
              </w:rPr>
              <w:t>）下午2時</w:t>
            </w:r>
            <w:r w:rsidR="001324DE" w:rsidRPr="00D44B27">
              <w:rPr>
                <w:rFonts w:ascii="標楷體" w:eastAsia="標楷體" w:hAnsi="標楷體" w:hint="eastAsia"/>
                <w:color w:val="000000" w:themeColor="text1"/>
                <w:spacing w:val="-10"/>
                <w:sz w:val="30"/>
                <w:szCs w:val="30"/>
              </w:rPr>
              <w:t>至5時</w:t>
            </w:r>
          </w:p>
        </w:tc>
      </w:tr>
      <w:tr w:rsidR="00F83039" w:rsidRPr="00D44B27" w:rsidTr="00FE412C">
        <w:trPr>
          <w:trHeight w:hRule="exact" w:val="454"/>
          <w:jc w:val="center"/>
        </w:trPr>
        <w:tc>
          <w:tcPr>
            <w:tcW w:w="2101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地點</w:t>
            </w:r>
          </w:p>
        </w:tc>
        <w:tc>
          <w:tcPr>
            <w:tcW w:w="7768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20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pacing w:val="-20"/>
                <w:sz w:val="30"/>
                <w:szCs w:val="30"/>
              </w:rPr>
              <w:t>台北國際會議</w:t>
            </w:r>
            <w:r w:rsidRPr="00D44B27">
              <w:rPr>
                <w:rFonts w:ascii="標楷體" w:eastAsia="標楷體" w:hAnsi="標楷體"/>
                <w:color w:val="000000" w:themeColor="text1"/>
                <w:spacing w:val="-20"/>
                <w:sz w:val="30"/>
                <w:szCs w:val="30"/>
              </w:rPr>
              <w:t>中心</w:t>
            </w:r>
            <w:r w:rsidRPr="00D44B27">
              <w:rPr>
                <w:rFonts w:ascii="標楷體" w:eastAsia="標楷體" w:hAnsi="標楷體" w:hint="eastAsia"/>
                <w:color w:val="000000" w:themeColor="text1"/>
                <w:spacing w:val="-20"/>
                <w:sz w:val="30"/>
                <w:szCs w:val="30"/>
              </w:rPr>
              <w:t>103會議室(台北市信義路5段1號)</w:t>
            </w:r>
          </w:p>
        </w:tc>
      </w:tr>
      <w:tr w:rsidR="00F83039" w:rsidRPr="00D44B27" w:rsidTr="00FE412C">
        <w:trPr>
          <w:trHeight w:hRule="exact" w:val="454"/>
          <w:jc w:val="center"/>
        </w:trPr>
        <w:tc>
          <w:tcPr>
            <w:tcW w:w="986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pacing w:val="1000"/>
                <w:sz w:val="30"/>
                <w:szCs w:val="30"/>
              </w:rPr>
              <w:t>流</w:t>
            </w: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程</w:t>
            </w:r>
          </w:p>
        </w:tc>
      </w:tr>
      <w:tr w:rsidR="00F83039" w:rsidRPr="00D44B27" w:rsidTr="00FE412C">
        <w:trPr>
          <w:trHeight w:hRule="exact" w:val="454"/>
          <w:jc w:val="center"/>
        </w:trPr>
        <w:tc>
          <w:tcPr>
            <w:tcW w:w="2101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13：30-14：00</w:t>
            </w:r>
          </w:p>
        </w:tc>
        <w:tc>
          <w:tcPr>
            <w:tcW w:w="7768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報到</w:t>
            </w:r>
          </w:p>
        </w:tc>
      </w:tr>
      <w:tr w:rsidR="00F83039" w:rsidRPr="00D44B27" w:rsidTr="00FE412C">
        <w:trPr>
          <w:trHeight w:hRule="exact" w:val="454"/>
          <w:jc w:val="center"/>
        </w:trPr>
        <w:tc>
          <w:tcPr>
            <w:tcW w:w="2101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14：00-14：10</w:t>
            </w:r>
          </w:p>
        </w:tc>
        <w:tc>
          <w:tcPr>
            <w:tcW w:w="7768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中華民國工商協進會</w:t>
            </w:r>
            <w:r w:rsidR="00E451A6"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 xml:space="preserve"> </w:t>
            </w: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范良</w:t>
            </w:r>
            <w:r w:rsidRPr="00D44B27"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  <w:t>棟秘書長</w:t>
            </w: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致詞</w:t>
            </w:r>
          </w:p>
        </w:tc>
      </w:tr>
      <w:tr w:rsidR="00F83039" w:rsidRPr="00D44B27" w:rsidTr="00D44B27">
        <w:trPr>
          <w:trHeight w:hRule="exact" w:val="1689"/>
          <w:jc w:val="center"/>
        </w:trPr>
        <w:tc>
          <w:tcPr>
            <w:tcW w:w="2101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14：10-16：</w:t>
            </w:r>
            <w:r w:rsidR="00D44B27" w:rsidRPr="00D44B27"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  <w:t>4</w:t>
            </w: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7768" w:type="dxa"/>
            <w:tcBorders>
              <w:top w:val="dotted" w:sz="4" w:space="0" w:color="auto"/>
              <w:bottom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B31400" w:rsidRDefault="00ED330C" w:rsidP="00D44B27">
            <w:pPr>
              <w:snapToGrid w:val="0"/>
              <w:spacing w:line="400" w:lineRule="exact"/>
              <w:ind w:left="1050" w:hangingChars="350" w:hanging="1050"/>
              <w:jc w:val="both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主講人:</w:t>
            </w:r>
            <w:r w:rsidR="003E50D9"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資</w:t>
            </w:r>
            <w:r w:rsidR="003E50D9"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  <w:shd w:val="clear" w:color="auto" w:fill="FFFFFF"/>
              </w:rPr>
              <w:t>誠聯合會計師事務所稅務法律服務</w:t>
            </w:r>
            <w:r w:rsidR="001324DE" w:rsidRPr="00D44B27">
              <w:rPr>
                <w:rFonts w:ascii="標楷體" w:eastAsia="標楷體" w:hAnsi="標楷體"/>
                <w:color w:val="000000" w:themeColor="text1"/>
                <w:sz w:val="30"/>
                <w:szCs w:val="30"/>
                <w:shd w:val="clear" w:color="auto" w:fill="FFFFFF"/>
              </w:rPr>
              <w:br/>
            </w:r>
            <w:r w:rsidR="003E50D9"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  <w:shd w:val="clear" w:color="auto" w:fill="FFFFFF"/>
              </w:rPr>
              <w:t>郭宗銘</w:t>
            </w:r>
            <w:r w:rsidR="001324DE"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  <w:shd w:val="clear" w:color="auto" w:fill="FFFFFF"/>
              </w:rPr>
              <w:t>營運長</w:t>
            </w:r>
            <w:r w:rsidR="001324DE" w:rsidRPr="00D44B27">
              <w:rPr>
                <w:rFonts w:ascii="標楷體" w:eastAsia="標楷體" w:hAnsi="標楷體"/>
                <w:color w:val="000000" w:themeColor="text1"/>
                <w:sz w:val="30"/>
                <w:szCs w:val="30"/>
                <w:shd w:val="clear" w:color="auto" w:fill="FFFFFF"/>
              </w:rPr>
              <w:t>、洪連盛</w:t>
            </w:r>
            <w:r w:rsidR="001324DE" w:rsidRPr="00B31400">
              <w:rPr>
                <w:rFonts w:ascii="標楷體" w:eastAsia="標楷體" w:hAnsi="標楷體"/>
                <w:color w:val="000000" w:themeColor="text1"/>
                <w:sz w:val="30"/>
                <w:szCs w:val="30"/>
                <w:shd w:val="clear" w:color="auto" w:fill="FFFFFF"/>
              </w:rPr>
              <w:t>會計師</w:t>
            </w:r>
            <w:r w:rsidR="003E50D9" w:rsidRPr="00B31400"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  <w:t xml:space="preserve"> </w:t>
            </w:r>
          </w:p>
          <w:p w:rsidR="00ED330C" w:rsidRPr="00D44B27" w:rsidRDefault="00ED330C" w:rsidP="00D44B27">
            <w:pPr>
              <w:snapToGrid w:val="0"/>
              <w:spacing w:line="400" w:lineRule="exact"/>
              <w:ind w:left="1200" w:hangingChars="400" w:hanging="1200"/>
              <w:jc w:val="both"/>
              <w:rPr>
                <w:rFonts w:ascii="標楷體" w:eastAsia="標楷體" w:hAnsi="標楷體"/>
                <w:color w:val="000000" w:themeColor="text1"/>
                <w:sz w:val="30"/>
                <w:szCs w:val="30"/>
                <w:u w:val="single"/>
              </w:rPr>
            </w:pPr>
            <w:r w:rsidRPr="00B31400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講</w:t>
            </w:r>
            <w:r w:rsidR="007C71D2" w:rsidRPr="00B31400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 xml:space="preserve">  </w:t>
            </w:r>
            <w:r w:rsidRPr="00B31400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題:</w:t>
            </w:r>
            <w:r w:rsidR="00D44B27" w:rsidRPr="00B31400"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 w:rsidR="00D44B27" w:rsidRPr="00B31400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最新「企</w:t>
            </w:r>
            <w:bookmarkStart w:id="0" w:name="_GoBack"/>
            <w:bookmarkEnd w:id="0"/>
            <w:r w:rsidR="00D44B27" w:rsidRPr="00B31400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業併購法、有限合夥法及公司法之閉鎖性股份有限公司專節」稅務</w:t>
            </w:r>
            <w:r w:rsidR="00B31400" w:rsidRPr="00B31400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及</w:t>
            </w:r>
            <w:r w:rsidR="00B31400" w:rsidRPr="00B31400"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  <w:t>法律</w:t>
            </w:r>
            <w:r w:rsidR="00B31400" w:rsidRPr="00B31400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議題</w:t>
            </w:r>
            <w:r w:rsidR="00D44B27" w:rsidRPr="00B31400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分析</w:t>
            </w:r>
          </w:p>
        </w:tc>
      </w:tr>
      <w:tr w:rsidR="00F83039" w:rsidRPr="00D44B27" w:rsidTr="00FE412C">
        <w:trPr>
          <w:trHeight w:hRule="exact" w:val="454"/>
          <w:jc w:val="center"/>
        </w:trPr>
        <w:tc>
          <w:tcPr>
            <w:tcW w:w="2101" w:type="dxa"/>
            <w:tcBorders>
              <w:top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16：</w:t>
            </w:r>
            <w:r w:rsidR="00D44B27" w:rsidRPr="00D44B27"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  <w:t>4</w:t>
            </w: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0-1</w:t>
            </w:r>
            <w:r w:rsidR="00D44B27" w:rsidRPr="00D44B27"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  <w:t>7</w:t>
            </w: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：</w:t>
            </w:r>
            <w:r w:rsidR="00D44B27"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0</w:t>
            </w: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7768" w:type="dxa"/>
            <w:tcBorders>
              <w:top w:val="dotted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ED330C" w:rsidRPr="00D44B27" w:rsidRDefault="00ED330C" w:rsidP="00D44B2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交流互動</w:t>
            </w:r>
          </w:p>
        </w:tc>
      </w:tr>
    </w:tbl>
    <w:p w:rsidR="00ED330C" w:rsidRPr="00D44B27" w:rsidRDefault="00ED330C" w:rsidP="00BE2526">
      <w:pPr>
        <w:adjustRightInd w:val="0"/>
        <w:snapToGrid w:val="0"/>
        <w:spacing w:beforeLines="50" w:before="18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44B2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4"/>
        <w:gridCol w:w="2345"/>
        <w:gridCol w:w="2211"/>
        <w:gridCol w:w="2813"/>
      </w:tblGrid>
      <w:tr w:rsidR="00F83039" w:rsidRPr="00D44B27" w:rsidTr="00FE412C">
        <w:trPr>
          <w:trHeight w:hRule="exact" w:val="397"/>
          <w:jc w:val="center"/>
        </w:trPr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30C" w:rsidRPr="00D44B27" w:rsidRDefault="00ED330C" w:rsidP="00FE41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公司名稱：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30C" w:rsidRPr="00D44B27" w:rsidRDefault="00ED330C" w:rsidP="00FE412C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地址：</w:t>
            </w:r>
          </w:p>
        </w:tc>
      </w:tr>
      <w:tr w:rsidR="00F83039" w:rsidRPr="00D44B27" w:rsidTr="00FE412C">
        <w:trPr>
          <w:trHeight w:hRule="exact" w:val="397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30C" w:rsidRPr="00D44B27" w:rsidRDefault="00ED330C" w:rsidP="00FE412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姓  名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30C" w:rsidRPr="00D44B27" w:rsidRDefault="00ED330C" w:rsidP="00FE412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職  稱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30C" w:rsidRPr="00D44B27" w:rsidRDefault="00ED330C" w:rsidP="00FE412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聯 絡 電 話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30C" w:rsidRPr="00D44B27" w:rsidRDefault="00ED330C" w:rsidP="00FE412C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  <w:r w:rsidRPr="00D44B27">
              <w:rPr>
                <w:rFonts w:ascii="標楷體" w:eastAsia="標楷體" w:hAnsi="標楷體" w:hint="eastAsia"/>
                <w:color w:val="000000" w:themeColor="text1"/>
                <w:kern w:val="28"/>
                <w:sz w:val="28"/>
                <w:szCs w:val="28"/>
              </w:rPr>
              <w:t>傳  真</w:t>
            </w:r>
          </w:p>
        </w:tc>
      </w:tr>
      <w:tr w:rsidR="00F83039" w:rsidRPr="00D44B27" w:rsidTr="00FE412C">
        <w:trPr>
          <w:trHeight w:hRule="exact" w:val="45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28"/>
                <w:szCs w:val="28"/>
              </w:rPr>
            </w:pPr>
          </w:p>
        </w:tc>
      </w:tr>
      <w:tr w:rsidR="00F83039" w:rsidRPr="00D44B27" w:rsidTr="00FE412C">
        <w:trPr>
          <w:trHeight w:hRule="exact" w:val="45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</w:tr>
      <w:tr w:rsidR="00F83039" w:rsidRPr="00D44B27" w:rsidTr="00FE412C">
        <w:trPr>
          <w:trHeight w:hRule="exact" w:val="454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30C" w:rsidRPr="00D44B27" w:rsidRDefault="00ED330C" w:rsidP="00FE412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28"/>
                <w:sz w:val="32"/>
                <w:szCs w:val="32"/>
              </w:rPr>
            </w:pPr>
          </w:p>
        </w:tc>
      </w:tr>
    </w:tbl>
    <w:p w:rsidR="00E451A6" w:rsidRPr="00D44B27" w:rsidRDefault="00ED330C" w:rsidP="00D44B27">
      <w:pPr>
        <w:adjustRightInd w:val="0"/>
        <w:snapToGrid w:val="0"/>
        <w:spacing w:line="36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  <w:spacing w:val="-10"/>
          <w:kern w:val="28"/>
          <w:szCs w:val="24"/>
        </w:rPr>
      </w:pPr>
      <w:r w:rsidRPr="00D44B27">
        <w:rPr>
          <w:rFonts w:ascii="標楷體" w:eastAsia="標楷體" w:hAnsi="標楷體" w:hint="eastAsia"/>
          <w:color w:val="000000" w:themeColor="text1"/>
          <w:szCs w:val="24"/>
        </w:rPr>
        <w:t>備註：</w:t>
      </w:r>
      <w:r w:rsidRPr="00D44B27">
        <w:rPr>
          <w:rFonts w:ascii="標楷體" w:eastAsia="標楷體" w:hAnsi="標楷體" w:hint="eastAsia"/>
          <w:color w:val="000000" w:themeColor="text1"/>
          <w:spacing w:val="-10"/>
          <w:kern w:val="28"/>
          <w:szCs w:val="24"/>
        </w:rPr>
        <w:t>本場講座免費參加，並可登錄公務人員終身學習時數2小時。請登錄本會網站</w:t>
      </w:r>
      <w:hyperlink r:id="rId7" w:history="1">
        <w:r w:rsidRPr="00D44B27">
          <w:rPr>
            <w:rStyle w:val="a3"/>
            <w:rFonts w:ascii="標楷體" w:eastAsia="標楷體" w:hAnsi="標楷體"/>
            <w:color w:val="000000" w:themeColor="text1"/>
            <w:spacing w:val="-10"/>
            <w:kern w:val="28"/>
            <w:szCs w:val="24"/>
          </w:rPr>
          <w:t>www.cnaic.org</w:t>
        </w:r>
      </w:hyperlink>
      <w:r w:rsidRPr="00D44B27">
        <w:rPr>
          <w:rFonts w:ascii="標楷體" w:eastAsia="標楷體" w:hAnsi="標楷體" w:hint="eastAsia"/>
          <w:color w:val="000000" w:themeColor="text1"/>
          <w:spacing w:val="-10"/>
          <w:kern w:val="28"/>
          <w:szCs w:val="24"/>
        </w:rPr>
        <w:t>報名或填妥報名表後傳真02-2707-0977</w:t>
      </w:r>
      <w:r w:rsidR="003E50D9" w:rsidRPr="00D44B27">
        <w:rPr>
          <w:rFonts w:ascii="標楷體" w:eastAsia="標楷體" w:hAnsi="標楷體" w:hint="eastAsia"/>
          <w:color w:val="000000" w:themeColor="text1"/>
          <w:spacing w:val="-10"/>
          <w:kern w:val="28"/>
          <w:szCs w:val="24"/>
        </w:rPr>
        <w:t>或</w:t>
      </w:r>
      <w:r w:rsidR="003E50D9" w:rsidRPr="00D44B27">
        <w:rPr>
          <w:rFonts w:ascii="標楷體" w:eastAsia="標楷體" w:hAnsi="標楷體"/>
          <w:color w:val="000000" w:themeColor="text1"/>
          <w:spacing w:val="-10"/>
          <w:kern w:val="28"/>
          <w:szCs w:val="24"/>
        </w:rPr>
        <w:t>Email：</w:t>
      </w:r>
      <w:hyperlink r:id="rId8" w:history="1">
        <w:r w:rsidR="003E50D9" w:rsidRPr="00D44B27">
          <w:rPr>
            <w:rStyle w:val="a3"/>
            <w:rFonts w:ascii="標楷體" w:eastAsia="標楷體" w:hAnsi="標楷體"/>
            <w:color w:val="000000" w:themeColor="text1"/>
            <w:spacing w:val="-10"/>
            <w:kern w:val="28"/>
            <w:szCs w:val="24"/>
          </w:rPr>
          <w:t>LZL@cnaic.org</w:t>
        </w:r>
      </w:hyperlink>
      <w:r w:rsidRPr="00D44B27">
        <w:rPr>
          <w:rFonts w:ascii="標楷體" w:eastAsia="標楷體" w:hAnsi="標楷體" w:hint="eastAsia"/>
          <w:color w:val="000000" w:themeColor="text1"/>
          <w:spacing w:val="-10"/>
          <w:kern w:val="28"/>
          <w:szCs w:val="24"/>
        </w:rPr>
        <w:t>，並以電話02-2707-0111轉1</w:t>
      </w:r>
      <w:r w:rsidRPr="00D44B27">
        <w:rPr>
          <w:rFonts w:ascii="標楷體" w:eastAsia="標楷體" w:hAnsi="標楷體"/>
          <w:color w:val="000000" w:themeColor="text1"/>
          <w:spacing w:val="-10"/>
          <w:kern w:val="28"/>
          <w:szCs w:val="24"/>
        </w:rPr>
        <w:t>49</w:t>
      </w:r>
      <w:r w:rsidRPr="00D44B27">
        <w:rPr>
          <w:rFonts w:ascii="標楷體" w:eastAsia="標楷體" w:hAnsi="標楷體" w:hint="eastAsia"/>
          <w:color w:val="000000" w:themeColor="text1"/>
          <w:spacing w:val="-10"/>
          <w:kern w:val="28"/>
          <w:szCs w:val="24"/>
        </w:rPr>
        <w:t>與承辦人梁志隆資深專員確認，謝謝!</w:t>
      </w:r>
    </w:p>
    <w:sectPr w:rsidR="00E451A6" w:rsidRPr="00D44B27" w:rsidSect="00D44B27">
      <w:pgSz w:w="11906" w:h="16838"/>
      <w:pgMar w:top="680" w:right="851" w:bottom="567" w:left="85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A2C" w:rsidRDefault="00C94A2C" w:rsidP="007C71D2">
      <w:r>
        <w:separator/>
      </w:r>
    </w:p>
  </w:endnote>
  <w:endnote w:type="continuationSeparator" w:id="0">
    <w:p w:rsidR="00C94A2C" w:rsidRDefault="00C94A2C" w:rsidP="007C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A2C" w:rsidRDefault="00C94A2C" w:rsidP="007C71D2">
      <w:r>
        <w:separator/>
      </w:r>
    </w:p>
  </w:footnote>
  <w:footnote w:type="continuationSeparator" w:id="0">
    <w:p w:rsidR="00C94A2C" w:rsidRDefault="00C94A2C" w:rsidP="007C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E3"/>
    <w:rsid w:val="000149B6"/>
    <w:rsid w:val="000277DF"/>
    <w:rsid w:val="00027C42"/>
    <w:rsid w:val="000A711A"/>
    <w:rsid w:val="000B0435"/>
    <w:rsid w:val="001324DE"/>
    <w:rsid w:val="00192B04"/>
    <w:rsid w:val="002555D9"/>
    <w:rsid w:val="002A219C"/>
    <w:rsid w:val="002A7D2C"/>
    <w:rsid w:val="002E394A"/>
    <w:rsid w:val="002F3B67"/>
    <w:rsid w:val="00375A04"/>
    <w:rsid w:val="00380984"/>
    <w:rsid w:val="003E50D9"/>
    <w:rsid w:val="004500ED"/>
    <w:rsid w:val="0048357A"/>
    <w:rsid w:val="00487780"/>
    <w:rsid w:val="004B409B"/>
    <w:rsid w:val="004C7692"/>
    <w:rsid w:val="004D4C8D"/>
    <w:rsid w:val="005E20BB"/>
    <w:rsid w:val="005F6F1A"/>
    <w:rsid w:val="006A1A9B"/>
    <w:rsid w:val="006C137D"/>
    <w:rsid w:val="006F1009"/>
    <w:rsid w:val="007B0710"/>
    <w:rsid w:val="007B14F8"/>
    <w:rsid w:val="007C71D2"/>
    <w:rsid w:val="008124A1"/>
    <w:rsid w:val="008263E3"/>
    <w:rsid w:val="008A1305"/>
    <w:rsid w:val="009A7417"/>
    <w:rsid w:val="00B31400"/>
    <w:rsid w:val="00BE0157"/>
    <w:rsid w:val="00BE2526"/>
    <w:rsid w:val="00BE2F38"/>
    <w:rsid w:val="00BE6AC6"/>
    <w:rsid w:val="00BF081D"/>
    <w:rsid w:val="00C94A2C"/>
    <w:rsid w:val="00C960E0"/>
    <w:rsid w:val="00CC33F5"/>
    <w:rsid w:val="00CF358E"/>
    <w:rsid w:val="00D44B27"/>
    <w:rsid w:val="00DA74E6"/>
    <w:rsid w:val="00DC2AAC"/>
    <w:rsid w:val="00DC2BD9"/>
    <w:rsid w:val="00E451A6"/>
    <w:rsid w:val="00E87979"/>
    <w:rsid w:val="00EA56BE"/>
    <w:rsid w:val="00ED330C"/>
    <w:rsid w:val="00F33AD3"/>
    <w:rsid w:val="00F83039"/>
    <w:rsid w:val="00FA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5D298D-644E-40B2-890C-CA306AF7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263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rsid w:val="00ED330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C7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C71D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C71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C71D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ZL@cnai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aic.org/style/content/CN-01/news_detail.asp?id=14271&amp;thelev=2&amp;lang=1&amp;customer_id=725&amp;name_id=264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29FFF-190E-422A-A2EB-B8BF06EF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2015-06-26T02:22:00Z</cp:lastPrinted>
  <dcterms:created xsi:type="dcterms:W3CDTF">2015-08-03T05:53:00Z</dcterms:created>
  <dcterms:modified xsi:type="dcterms:W3CDTF">2015-08-03T07:13:00Z</dcterms:modified>
</cp:coreProperties>
</file>